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BD3B0E">
        <w:rPr>
          <w:rFonts w:cs="Arial"/>
          <w:b/>
          <w:bCs/>
        </w:rPr>
        <w:t>No. 474 DE 2024 CÁMARA – 168 DE 2023 SENADO “POR MEDIO DE LA CUAL SE CREAN MEDIDAS DE POLÍTICA PÚBLICA PARA LA LUCHA CONTRA EL HAMBRE Y LA INSEGURIDAD ALIMENTARIA Y SE DICTAN OTRAS DISPOSICIONES”.</w:t>
      </w:r>
      <w:bookmarkStart w:id="0" w:name="_GoBack"/>
      <w:bookmarkEnd w:id="0"/>
      <w:r w:rsidR="0080316C" w:rsidRPr="002C21DA">
        <w:rPr>
          <w:b/>
        </w:rPr>
        <w:t xml:space="preserve"> </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80316C">
        <w:rPr>
          <w:rFonts w:cs="Arial"/>
        </w:rPr>
        <w:t>29</w:t>
      </w:r>
      <w:r w:rsidR="00856BE4" w:rsidRPr="001C6DF6">
        <w:rPr>
          <w:rFonts w:cs="Arial"/>
        </w:rPr>
        <w:t xml:space="preserve"> de abril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874E4E" w:rsidRPr="001C6DF6">
        <w:rPr>
          <w:rFonts w:cs="Arial"/>
        </w:rPr>
        <w:t>2</w:t>
      </w:r>
      <w:r w:rsidR="0080316C">
        <w:rPr>
          <w:rFonts w:cs="Arial"/>
        </w:rPr>
        <w:t>7</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180E10" w:rsidRPr="00066E86" w:rsidRDefault="00180E10" w:rsidP="00180E10">
      <w:pPr>
        <w:pStyle w:val="Sinespaciado"/>
        <w:rPr>
          <w:rFonts w:cs="Arial"/>
          <w:u w:val="single"/>
        </w:rPr>
      </w:pPr>
      <w:r w:rsidRPr="00066E86">
        <w:rPr>
          <w:rFonts w:cs="Arial"/>
          <w:b/>
        </w:rPr>
        <w:t xml:space="preserve">Artículo 1. Objeto. </w:t>
      </w:r>
      <w:r w:rsidRPr="00066E86">
        <w:rPr>
          <w:rFonts w:cs="Arial"/>
        </w:rPr>
        <w:t xml:space="preserve">La presente Ley tiene por objeto la creación de medidas de política pública para la lucha contra el hambre y la inseguridad alimentaria, así como el establecimiento de medidas complementarias a las previstas en la Ley 1990 de 2019 para incentivar la donación de alimentos en el país. </w:t>
      </w:r>
    </w:p>
    <w:p w:rsidR="00180E10" w:rsidRPr="00066E86" w:rsidRDefault="00180E10" w:rsidP="00180E10">
      <w:pPr>
        <w:pStyle w:val="Sinespaciado"/>
        <w:jc w:val="center"/>
        <w:rPr>
          <w:rFonts w:cs="Arial"/>
          <w:b/>
        </w:rPr>
      </w:pPr>
      <w:r w:rsidRPr="00066E86">
        <w:rPr>
          <w:rFonts w:cs="Arial"/>
          <w:b/>
        </w:rPr>
        <w:t>Capítulo I</w:t>
      </w:r>
    </w:p>
    <w:p w:rsidR="00180E10" w:rsidRPr="00066E86" w:rsidRDefault="00180E10" w:rsidP="00180E10">
      <w:pPr>
        <w:pStyle w:val="Sinespaciado"/>
        <w:jc w:val="center"/>
        <w:rPr>
          <w:rFonts w:cs="Arial"/>
          <w:b/>
        </w:rPr>
      </w:pPr>
      <w:r w:rsidRPr="00066E86">
        <w:rPr>
          <w:rFonts w:cs="Arial"/>
          <w:b/>
        </w:rPr>
        <w:t>Medidas de política pública para la lucha contra el hambre y la inseguridad alimentaria</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Artículo 2. Fondo para la lucha contra el hambre, la inseguridad alimentaria y el desperdicio de alimentos. </w:t>
      </w:r>
      <w:r w:rsidRPr="00066E86">
        <w:rPr>
          <w:rFonts w:cs="Arial"/>
        </w:rPr>
        <w:t xml:space="preserve">Créese el Fondo para la lucha contra el hambre, la inseguridad alimentaria y el desperdicio de alimentos (en adelante, el “Fondo”) como un patrimonio autónomo, sin estructura administrativa y sin planta de personal, administrado por la sociedad fiduciaria que sea contratada de conformidad con las normas que rijan sobre la materia. Tendrá por objeto ejecutar las políticas de la lucha contra el hambre, la inseguridad alimentaria y el desperdicio de alimentos definidas por la Junta Directiva con base en los planes nacionales que existan sobre la materia.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Parágrafo </w:t>
      </w:r>
      <w:r w:rsidRPr="00066E86">
        <w:rPr>
          <w:rFonts w:cs="Arial"/>
          <w:b/>
          <w:color w:val="000000" w:themeColor="text1"/>
        </w:rPr>
        <w:t>1°</w:t>
      </w:r>
      <w:r w:rsidRPr="00066E86">
        <w:rPr>
          <w:rFonts w:cs="Arial"/>
          <w:b/>
        </w:rPr>
        <w:t>.</w:t>
      </w:r>
      <w:r w:rsidRPr="00066E86">
        <w:rPr>
          <w:rFonts w:cs="Arial"/>
        </w:rPr>
        <w:t xml:space="preserve"> Para todos los efectos legales, el control fiscal sobre los recursos del Fondo será ejercido por la Contraloría General de la República, de conformidad con las normas y reglamentos correspondientes, adecuados a la naturaleza del fondo y su organismo administrador. </w:t>
      </w:r>
    </w:p>
    <w:p w:rsidR="00180E10" w:rsidRDefault="00180E10" w:rsidP="00180E10">
      <w:pPr>
        <w:pStyle w:val="Sinespaciado"/>
        <w:rPr>
          <w:rFonts w:cs="Arial"/>
          <w:b/>
          <w:color w:val="000000" w:themeColor="text1"/>
        </w:rPr>
      </w:pPr>
    </w:p>
    <w:p w:rsidR="00180E10" w:rsidRPr="00066E86" w:rsidRDefault="00180E10" w:rsidP="00180E10">
      <w:pPr>
        <w:pStyle w:val="Sinespaciado"/>
        <w:rPr>
          <w:rFonts w:cs="Arial"/>
          <w:b/>
          <w:color w:val="000000" w:themeColor="text1"/>
        </w:rPr>
      </w:pPr>
      <w:r w:rsidRPr="00066E86">
        <w:rPr>
          <w:rFonts w:cs="Arial"/>
          <w:b/>
          <w:color w:val="000000" w:themeColor="text1"/>
        </w:rPr>
        <w:t>Parágrafo</w:t>
      </w:r>
      <w:r w:rsidRPr="00066E86">
        <w:rPr>
          <w:rFonts w:cs="Arial"/>
          <w:b/>
          <w:color w:val="FF0000"/>
        </w:rPr>
        <w:t xml:space="preserve"> </w:t>
      </w:r>
      <w:r w:rsidRPr="00066E86">
        <w:rPr>
          <w:rFonts w:cs="Arial"/>
          <w:b/>
          <w:color w:val="000000" w:themeColor="text1"/>
        </w:rPr>
        <w:t>2</w:t>
      </w:r>
      <w:r w:rsidRPr="00066E86">
        <w:rPr>
          <w:rFonts w:cs="Arial"/>
          <w:color w:val="000000" w:themeColor="text1"/>
        </w:rPr>
        <w:t>°. La priorización de las comunidades beneficiarias del fondo se realizará de acuerdo con los indicadores de pobreza extrema e inseguridad alimentaria en cada uno de los municipios y/o comunidades rurales, comunidades indígenas, comunidades campesinas y/o población con niveles de Sisbén A y B</w:t>
      </w:r>
      <w:r w:rsidRPr="00066E86">
        <w:rPr>
          <w:rFonts w:cs="Arial"/>
          <w:b/>
          <w:color w:val="000000" w:themeColor="text1"/>
        </w:rPr>
        <w:t xml:space="preserve">.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Artículo 3. Dirección y administración del Fondo.</w:t>
      </w:r>
      <w:r w:rsidRPr="00066E86">
        <w:rPr>
          <w:rFonts w:cs="Arial"/>
        </w:rPr>
        <w:t xml:space="preserve"> El Fondo será dirigido por una Junta Directiva conformada así: </w:t>
      </w:r>
    </w:p>
    <w:p w:rsidR="00180E10" w:rsidRDefault="00180E10" w:rsidP="00180E10">
      <w:pPr>
        <w:pStyle w:val="Sinespaciado"/>
        <w:rPr>
          <w:rFonts w:cs="Arial"/>
        </w:rPr>
      </w:pPr>
    </w:p>
    <w:p w:rsidR="00180E10" w:rsidRDefault="00180E10" w:rsidP="00180E10">
      <w:pPr>
        <w:pStyle w:val="Sinespaciado"/>
        <w:rPr>
          <w:rFonts w:cs="Arial"/>
        </w:rPr>
      </w:pPr>
      <w:r w:rsidRPr="00066E86">
        <w:rPr>
          <w:rFonts w:cs="Arial"/>
        </w:rPr>
        <w:t>Miembros con voz y voto:</w:t>
      </w:r>
    </w:p>
    <w:p w:rsidR="00180E10" w:rsidRPr="00066E86" w:rsidRDefault="00180E10" w:rsidP="00180E10">
      <w:pPr>
        <w:pStyle w:val="Sinespaciado"/>
        <w:rPr>
          <w:rFonts w:cs="Arial"/>
        </w:rPr>
      </w:pPr>
      <w:r w:rsidRPr="00066E86">
        <w:rPr>
          <w:rFonts w:cs="Arial"/>
        </w:rPr>
        <w:t xml:space="preserve"> </w:t>
      </w:r>
    </w:p>
    <w:p w:rsidR="00180E10" w:rsidRPr="00066E86" w:rsidRDefault="00180E10" w:rsidP="00180E10">
      <w:pPr>
        <w:pStyle w:val="Sinespaciado"/>
        <w:rPr>
          <w:rFonts w:cs="Arial"/>
        </w:rPr>
      </w:pPr>
      <w:r w:rsidRPr="00066E86">
        <w:rPr>
          <w:rFonts w:cs="Arial"/>
        </w:rPr>
        <w:t xml:space="preserve">1. El/La Director/a del Departamento Administrativo para la Prosperidad Social o su delegado/a, quien la presidirá; </w:t>
      </w:r>
    </w:p>
    <w:p w:rsidR="00180E10" w:rsidRPr="00066E86" w:rsidRDefault="00180E10" w:rsidP="00180E10">
      <w:pPr>
        <w:pStyle w:val="Sinespaciado"/>
        <w:rPr>
          <w:rFonts w:cs="Arial"/>
        </w:rPr>
      </w:pPr>
      <w:r w:rsidRPr="00066E86">
        <w:rPr>
          <w:rFonts w:cs="Arial"/>
        </w:rPr>
        <w:t xml:space="preserve">2. El/La Ministro/a de Agricultura y Desarrollo Rural o su delegado/a; </w:t>
      </w:r>
    </w:p>
    <w:p w:rsidR="00180E10" w:rsidRPr="00066E86" w:rsidRDefault="00180E10" w:rsidP="00180E10">
      <w:pPr>
        <w:pStyle w:val="Sinespaciado"/>
        <w:rPr>
          <w:rFonts w:cs="Arial"/>
        </w:rPr>
      </w:pPr>
      <w:r w:rsidRPr="00066E86">
        <w:rPr>
          <w:rFonts w:cs="Arial"/>
        </w:rPr>
        <w:t xml:space="preserve">3. El/La Ministro/a de Salud y Protección Social o su delegado/a; </w:t>
      </w:r>
    </w:p>
    <w:p w:rsidR="00180E10" w:rsidRPr="00066E86" w:rsidRDefault="00180E10" w:rsidP="00180E10">
      <w:pPr>
        <w:pStyle w:val="Sinespaciado"/>
        <w:rPr>
          <w:rFonts w:cs="Arial"/>
        </w:rPr>
      </w:pPr>
      <w:r w:rsidRPr="00066E86">
        <w:rPr>
          <w:rFonts w:cs="Arial"/>
        </w:rPr>
        <w:t xml:space="preserve">4. El/La Director/a del Instituto Colombiano de Bienestar Familiar o su delegado/a; </w:t>
      </w:r>
    </w:p>
    <w:p w:rsidR="00180E10" w:rsidRPr="00066E86" w:rsidRDefault="00180E10" w:rsidP="00180E10">
      <w:pPr>
        <w:pStyle w:val="Sinespaciado"/>
        <w:rPr>
          <w:rFonts w:cs="Arial"/>
        </w:rPr>
      </w:pPr>
      <w:r w:rsidRPr="00066E86">
        <w:rPr>
          <w:rFonts w:cs="Arial"/>
        </w:rPr>
        <w:lastRenderedPageBreak/>
        <w:t xml:space="preserve">5. El/La Director/a del Departamento Nacional de Planeación o su delegado/a; </w:t>
      </w:r>
    </w:p>
    <w:p w:rsidR="00180E10" w:rsidRPr="00066E86" w:rsidRDefault="00180E10" w:rsidP="00180E10">
      <w:pPr>
        <w:pStyle w:val="Sinespaciado"/>
        <w:rPr>
          <w:rFonts w:cs="Arial"/>
        </w:rPr>
      </w:pPr>
      <w:r w:rsidRPr="00066E86">
        <w:rPr>
          <w:rFonts w:cs="Arial"/>
        </w:rPr>
        <w:t xml:space="preserve">6. Un/a gobernador/a o su delegado/a </w:t>
      </w:r>
    </w:p>
    <w:p w:rsidR="00180E10" w:rsidRPr="00066E86" w:rsidRDefault="00180E10" w:rsidP="00180E10">
      <w:pPr>
        <w:pStyle w:val="Sinespaciado"/>
        <w:rPr>
          <w:rFonts w:cs="Arial"/>
        </w:rPr>
      </w:pPr>
      <w:r w:rsidRPr="00066E86">
        <w:rPr>
          <w:rFonts w:cs="Arial"/>
        </w:rPr>
        <w:t xml:space="preserve">7. Un/a alcalde/a o su delegado/a;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Miembros con voz y sin voto:</w:t>
      </w:r>
    </w:p>
    <w:p w:rsidR="00180E10" w:rsidRDefault="00180E10" w:rsidP="00180E10">
      <w:pPr>
        <w:pStyle w:val="Sinespaciado"/>
        <w:rPr>
          <w:rFonts w:cs="Arial"/>
        </w:rPr>
      </w:pPr>
    </w:p>
    <w:p w:rsidR="00180E10" w:rsidRPr="00066E86" w:rsidRDefault="00180E10" w:rsidP="00180E10">
      <w:pPr>
        <w:pStyle w:val="Sinespaciado"/>
        <w:rPr>
          <w:rFonts w:cs="Arial"/>
        </w:rPr>
      </w:pPr>
      <w:r>
        <w:rPr>
          <w:rFonts w:cs="Arial"/>
        </w:rPr>
        <w:t xml:space="preserve">1. </w:t>
      </w:r>
      <w:r w:rsidRPr="00066E86">
        <w:rPr>
          <w:rFonts w:cs="Arial"/>
        </w:rPr>
        <w:t xml:space="preserve">Dos (2) representantes de Instituciones de Educación Superior (IES), uno de naturaleza pública y otro de naturaleza privada, con programas académicos enfocados en inseguridad alimentaria, soberanía alimentaria y temas afines. </w:t>
      </w:r>
    </w:p>
    <w:p w:rsidR="00180E10" w:rsidRPr="00066E86" w:rsidRDefault="00180E10" w:rsidP="00180E10">
      <w:pPr>
        <w:pStyle w:val="Sinespaciado"/>
        <w:rPr>
          <w:rFonts w:cs="Arial"/>
        </w:rPr>
      </w:pPr>
      <w:r w:rsidRPr="00066E86">
        <w:rPr>
          <w:rFonts w:cs="Arial"/>
        </w:rPr>
        <w:t xml:space="preserve">2. Dos (2) representantes de la sociedad civil de organizaciones con comprobada trayectoria en temas de seguridad alimentaria y temas afines. </w:t>
      </w:r>
    </w:p>
    <w:p w:rsidR="00180E10" w:rsidRPr="00066E86" w:rsidRDefault="00180E10" w:rsidP="00180E10">
      <w:pPr>
        <w:pStyle w:val="Sinespaciado"/>
        <w:rPr>
          <w:rFonts w:cs="Arial"/>
        </w:rPr>
      </w:pPr>
      <w:r w:rsidRPr="00066E86">
        <w:rPr>
          <w:rFonts w:cs="Arial"/>
        </w:rPr>
        <w:t xml:space="preserve">3. Un/a delegado/a de las comunidades indígenas, elegido(a) por la Mesa Permanente de Concertación con los Pueblos Indígenas, de acuerdo a sus procedimientos propios. </w:t>
      </w:r>
    </w:p>
    <w:p w:rsidR="00180E10" w:rsidRPr="00066E86" w:rsidRDefault="00180E10" w:rsidP="00180E10">
      <w:pPr>
        <w:pStyle w:val="Sinespaciado"/>
        <w:rPr>
          <w:rFonts w:cs="Arial"/>
        </w:rPr>
      </w:pPr>
      <w:r w:rsidRPr="00066E86">
        <w:rPr>
          <w:rFonts w:cs="Arial"/>
        </w:rPr>
        <w:t xml:space="preserve">4. Un/a delegado/a de las comunidades negras, afrodescendientes y palenqueras, elegido por el Espacio Nacional de Consulta Previa de las Comunidades Negras, Afrocolombianas, Raizales y Palenqueras; </w:t>
      </w:r>
    </w:p>
    <w:p w:rsidR="00180E10" w:rsidRPr="00066E86" w:rsidRDefault="00180E10" w:rsidP="00180E10">
      <w:pPr>
        <w:pStyle w:val="Sinespaciado"/>
        <w:rPr>
          <w:rFonts w:cs="Arial"/>
        </w:rPr>
      </w:pPr>
      <w:r w:rsidRPr="00066E86">
        <w:rPr>
          <w:rFonts w:cs="Arial"/>
        </w:rPr>
        <w:t xml:space="preserve">5. Un/a delegado/a del pueblo raizal del territorio insular colombiano; </w:t>
      </w:r>
    </w:p>
    <w:p w:rsidR="00180E10" w:rsidRPr="00066E86" w:rsidRDefault="00180E10" w:rsidP="00180E10">
      <w:pPr>
        <w:pStyle w:val="Sinespaciado"/>
        <w:rPr>
          <w:rFonts w:cs="Arial"/>
        </w:rPr>
      </w:pPr>
      <w:r w:rsidRPr="00066E86">
        <w:rPr>
          <w:rFonts w:cs="Arial"/>
        </w:rPr>
        <w:t xml:space="preserve">6. Un/a delegado/a del pueblo Rrom o gitano, elegido/a por la Comisión Nacional de Diálogo. </w:t>
      </w:r>
    </w:p>
    <w:p w:rsidR="00180E10" w:rsidRPr="00066E86" w:rsidRDefault="00180E10" w:rsidP="00180E10">
      <w:pPr>
        <w:pStyle w:val="Sinespaciado"/>
        <w:rPr>
          <w:rFonts w:cs="Arial"/>
        </w:rPr>
      </w:pPr>
      <w:r>
        <w:rPr>
          <w:rFonts w:cs="Arial"/>
        </w:rPr>
        <w:t xml:space="preserve">7. </w:t>
      </w:r>
      <w:r w:rsidRPr="00066E86">
        <w:rPr>
          <w:rFonts w:cs="Arial"/>
        </w:rPr>
        <w:t xml:space="preserve">Cuatro representantes de las vidas campesinas, elegidos por el espacio autónomo campesino de </w:t>
      </w:r>
      <w:r>
        <w:rPr>
          <w:rFonts w:cs="Arial"/>
        </w:rPr>
        <w:t xml:space="preserve">   </w:t>
      </w:r>
      <w:r w:rsidRPr="00066E86">
        <w:rPr>
          <w:rFonts w:cs="Arial"/>
        </w:rPr>
        <w:t xml:space="preserve">la Comisión Mixta Nacional de Asuntos Campesinos, de acuerdo a sus procedimientos propios. </w:t>
      </w:r>
    </w:p>
    <w:p w:rsidR="00180E10" w:rsidRPr="00066E86" w:rsidRDefault="00180E10" w:rsidP="00180E10">
      <w:pPr>
        <w:pStyle w:val="Sinespaciado"/>
        <w:rPr>
          <w:rFonts w:cs="Arial"/>
          <w:strike/>
          <w:color w:val="000000" w:themeColor="text1"/>
        </w:rPr>
      </w:pPr>
      <w:r w:rsidRPr="00066E86">
        <w:rPr>
          <w:rFonts w:cs="Arial"/>
          <w:color w:val="000000" w:themeColor="text1"/>
        </w:rPr>
        <w:t xml:space="preserve"> 8.</w:t>
      </w:r>
      <w:r w:rsidRPr="00066E86">
        <w:rPr>
          <w:rFonts w:cs="Arial"/>
          <w:b/>
          <w:color w:val="000000" w:themeColor="text1"/>
        </w:rPr>
        <w:t xml:space="preserve"> </w:t>
      </w:r>
      <w:r w:rsidRPr="00066E86">
        <w:rPr>
          <w:rFonts w:cs="Arial"/>
          <w:color w:val="000000" w:themeColor="text1"/>
        </w:rPr>
        <w:t>Un/a delegado/a de la Sociedad de Agricultores de Colombia, SAC.</w:t>
      </w:r>
    </w:p>
    <w:p w:rsidR="00180E10" w:rsidRPr="00066E86" w:rsidRDefault="00180E10" w:rsidP="00180E10">
      <w:pPr>
        <w:pStyle w:val="Sinespaciado"/>
        <w:rPr>
          <w:rFonts w:cs="Arial"/>
          <w:strike/>
          <w:color w:val="000000" w:themeColor="text1"/>
        </w:rPr>
      </w:pPr>
      <w:r w:rsidRPr="00066E86">
        <w:rPr>
          <w:rFonts w:cs="Arial"/>
          <w:color w:val="000000" w:themeColor="text1"/>
        </w:rPr>
        <w:t xml:space="preserve"> 9</w:t>
      </w:r>
      <w:r w:rsidRPr="00066E86">
        <w:rPr>
          <w:rFonts w:cs="Arial"/>
          <w:b/>
          <w:color w:val="000000" w:themeColor="text1"/>
          <w:u w:val="single"/>
        </w:rPr>
        <w:t>.</w:t>
      </w:r>
      <w:r w:rsidRPr="00066E86">
        <w:rPr>
          <w:rFonts w:cs="Arial"/>
          <w:b/>
          <w:color w:val="000000" w:themeColor="text1"/>
        </w:rPr>
        <w:t xml:space="preserve"> </w:t>
      </w:r>
      <w:r w:rsidRPr="00066E86">
        <w:rPr>
          <w:rFonts w:cs="Arial"/>
          <w:color w:val="000000" w:themeColor="text1"/>
        </w:rPr>
        <w:t>Un (1) Representante de la Asociación de Bancos de Alimentos de Colombia (ABACO).</w:t>
      </w:r>
    </w:p>
    <w:p w:rsidR="00180E10" w:rsidRPr="00066E86" w:rsidRDefault="00180E10" w:rsidP="00180E10">
      <w:pPr>
        <w:pStyle w:val="Sinespaciado"/>
        <w:rPr>
          <w:rFonts w:cs="Arial"/>
          <w:strike/>
          <w:color w:val="FF0000"/>
        </w:rPr>
      </w:pPr>
      <w:r w:rsidRPr="00066E86">
        <w:rPr>
          <w:rFonts w:cs="Arial"/>
          <w:color w:val="000000" w:themeColor="text1"/>
        </w:rPr>
        <w:t xml:space="preserve"> 10.</w:t>
      </w:r>
      <w:r w:rsidRPr="00066E86">
        <w:rPr>
          <w:rFonts w:cs="Arial"/>
          <w:b/>
          <w:color w:val="FF0000"/>
        </w:rPr>
        <w:t xml:space="preserve"> </w:t>
      </w:r>
      <w:r w:rsidRPr="00066E86">
        <w:rPr>
          <w:rFonts w:cs="Arial"/>
        </w:rPr>
        <w:t>Un/a representante de las organizaciones de consumidores, quien representará los intereses de los destinatarios finales de los alimentos.</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La administración del Fondo estará a cargo de su Director Ejecutivo y del Comité Fiduciario. Las calidades, integración, funciones y demás aspectos de estas instancias de administración serán reglamentadas por el Gobierno Nacional.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1°.</w:t>
      </w:r>
      <w:r w:rsidRPr="00066E86">
        <w:rPr>
          <w:rFonts w:cs="Arial"/>
        </w:rPr>
        <w:t xml:space="preserve"> Los Gobernadores y los Alcaldes que tendrán asiento en la Junta Directiva serán elegidos por sus pares reunidos en la Federación Nacional de Departamentos y en la Federación Colombiana de Municipios, o a través del mecanismo de elección que los Gobernadores y los Alcaldes acuerden.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2°.</w:t>
      </w:r>
      <w:r w:rsidRPr="00066E86">
        <w:rPr>
          <w:rFonts w:cs="Arial"/>
        </w:rPr>
        <w:t xml:space="preserve"> Los representantes de la sociedad civil y representantes de las Instituciones de Educación Superior, serán escogidos por los restantes miembros de la Junta Directiva, previa convocatoria pública realizada por ella.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3°.</w:t>
      </w:r>
      <w:r w:rsidRPr="00066E86">
        <w:rPr>
          <w:rFonts w:cs="Arial"/>
        </w:rPr>
        <w:t xml:space="preserve"> Los delegados por los miembros de la Junta Directiva tendrán que pertenecer al nivel directivo de la respectiva entidad. Es imprescindible que los miembros de la Junta proporcionen instrucciones claras y específicas a sus delegados para el cumplimiento de sus funciones.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Parágrafo 4°. </w:t>
      </w:r>
      <w:r w:rsidRPr="00066E86">
        <w:rPr>
          <w:rFonts w:cs="Arial"/>
        </w:rPr>
        <w:t>El representante de las organizaciones de consumidores deberá pertenecer a una organización legalmente constituida y con al menos cinco años de experiencia en la defensa de los derechos de los consumidores.  La selección se realizará a través de una convocatoria pública por parte de la Junta Directiva, garantizando la participación de diversas organizaciones para promover la transparencia en el proceso.</w:t>
      </w:r>
    </w:p>
    <w:p w:rsidR="00180E10" w:rsidRDefault="00180E10" w:rsidP="00180E10">
      <w:pPr>
        <w:pStyle w:val="Sinespaciado"/>
        <w:rPr>
          <w:rFonts w:cs="Arial"/>
          <w:b/>
        </w:rPr>
      </w:pPr>
    </w:p>
    <w:p w:rsidR="00180E10" w:rsidRDefault="00180E10" w:rsidP="00180E10">
      <w:pPr>
        <w:pStyle w:val="Sinespaciado"/>
        <w:rPr>
          <w:rFonts w:cs="Arial"/>
        </w:rPr>
      </w:pPr>
      <w:r w:rsidRPr="00066E86">
        <w:rPr>
          <w:rFonts w:cs="Arial"/>
          <w:b/>
        </w:rPr>
        <w:t>Artículo 4. Funciones de la Junta Directiva.</w:t>
      </w:r>
      <w:r w:rsidRPr="00066E86">
        <w:rPr>
          <w:rFonts w:cs="Arial"/>
        </w:rPr>
        <w:t xml:space="preserve"> La Junta Directiva del Fondo tendrá las siguientes funciones:</w:t>
      </w:r>
    </w:p>
    <w:p w:rsidR="00180E10" w:rsidRPr="00066E86" w:rsidRDefault="00180E10" w:rsidP="00180E10">
      <w:pPr>
        <w:pStyle w:val="Sinespaciado"/>
        <w:rPr>
          <w:rFonts w:cs="Arial"/>
        </w:rPr>
      </w:pPr>
      <w:r w:rsidRPr="00066E86">
        <w:rPr>
          <w:rFonts w:cs="Arial"/>
        </w:rPr>
        <w:lastRenderedPageBreak/>
        <w:t xml:space="preserve"> </w:t>
      </w:r>
    </w:p>
    <w:p w:rsidR="00180E10" w:rsidRPr="00066E86" w:rsidRDefault="00180E10" w:rsidP="00180E10">
      <w:pPr>
        <w:pStyle w:val="Sinespaciado"/>
        <w:rPr>
          <w:rFonts w:cs="Arial"/>
        </w:rPr>
      </w:pPr>
      <w:r w:rsidRPr="00066E86">
        <w:rPr>
          <w:rFonts w:cs="Arial"/>
        </w:rPr>
        <w:t xml:space="preserve">1. Formular y aprobar los reglamentos del Fondo y de la Junta Directiva para el ejercicio de sus funciones, asegurando que estos sean accesibles y comprensibles para todos los actores involucrados. </w:t>
      </w:r>
    </w:p>
    <w:p w:rsidR="00180E10" w:rsidRPr="00066E86" w:rsidRDefault="00180E10" w:rsidP="00180E10">
      <w:pPr>
        <w:pStyle w:val="Sinespaciado"/>
        <w:rPr>
          <w:rFonts w:cs="Arial"/>
        </w:rPr>
      </w:pPr>
      <w:r w:rsidRPr="00066E86">
        <w:rPr>
          <w:rFonts w:cs="Arial"/>
        </w:rPr>
        <w:t xml:space="preserve">2. Definir, de acuerdo a la Política Pública para la Garantía Progresiva del Derecho a la Alimentación, la Política contra la Pérdida y el Desperdicio de Alimentos y los demás planes y políticas públicas nacionales sobre la materia, los criterios claros, objetivos y transparentes para la selección de los proyectos y programas en los que el Fondo invertirá sus recursos. </w:t>
      </w:r>
    </w:p>
    <w:p w:rsidR="00180E10" w:rsidRPr="00066E86" w:rsidRDefault="00180E10" w:rsidP="00180E10">
      <w:pPr>
        <w:pStyle w:val="Sinespaciado"/>
        <w:rPr>
          <w:rFonts w:cs="Arial"/>
        </w:rPr>
      </w:pPr>
      <w:r w:rsidRPr="00066E86">
        <w:rPr>
          <w:rFonts w:cs="Arial"/>
        </w:rPr>
        <w:t xml:space="preserve">3. Revisar y aprobar el informe de gestión, los estados financieros y en general la rendición de cuentas que presenten las instancias de administración del Fondo. </w:t>
      </w:r>
    </w:p>
    <w:p w:rsidR="00180E10" w:rsidRPr="00066E86" w:rsidRDefault="00180E10" w:rsidP="00180E10">
      <w:pPr>
        <w:pStyle w:val="Sinespaciado"/>
        <w:rPr>
          <w:rFonts w:cs="Arial"/>
        </w:rPr>
      </w:pPr>
      <w:r w:rsidRPr="00066E86">
        <w:rPr>
          <w:rFonts w:cs="Arial"/>
        </w:rPr>
        <w:t xml:space="preserve">4. Contratar a la sociedad fiduciaria que administra el Fondo, la cual deberá ser de reconocida idoneidad, hacer seguimiento a las actividades que ejecuta en relación con el Fondo y recibir los informes sobre el desarrollo de sus operaciones. </w:t>
      </w:r>
    </w:p>
    <w:p w:rsidR="00180E10" w:rsidRPr="00066E86" w:rsidRDefault="00180E10" w:rsidP="00180E10">
      <w:pPr>
        <w:pStyle w:val="Sinespaciado"/>
        <w:rPr>
          <w:rFonts w:cs="Arial"/>
        </w:rPr>
      </w:pPr>
      <w:r w:rsidRPr="00066E86">
        <w:rPr>
          <w:rFonts w:cs="Arial"/>
        </w:rPr>
        <w:t xml:space="preserve">5. Seleccionar con criterio de mérito al Director Ejecutivo del Fondo, quien será contratado por la sociedad fiduciaria. </w:t>
      </w:r>
    </w:p>
    <w:p w:rsidR="00180E10" w:rsidRPr="00066E86" w:rsidRDefault="00180E10" w:rsidP="00180E10">
      <w:pPr>
        <w:pStyle w:val="Sinespaciado"/>
        <w:rPr>
          <w:rFonts w:cs="Arial"/>
        </w:rPr>
      </w:pPr>
      <w:r w:rsidRPr="00066E86">
        <w:rPr>
          <w:rFonts w:cs="Arial"/>
        </w:rPr>
        <w:t xml:space="preserve">6. Resolver los posibles conflictos de interés que se presenten en el desarrollo del objeto del Fondo. </w:t>
      </w:r>
    </w:p>
    <w:p w:rsidR="00180E10" w:rsidRPr="00066E86" w:rsidRDefault="00180E10" w:rsidP="00180E10">
      <w:pPr>
        <w:pStyle w:val="Sinespaciado"/>
        <w:rPr>
          <w:rFonts w:cs="Arial"/>
        </w:rPr>
      </w:pPr>
      <w:r w:rsidRPr="00066E86">
        <w:rPr>
          <w:rFonts w:cs="Arial"/>
        </w:rPr>
        <w:t>7. Las demás que le asignen la ley y los reglamentos como máximo órgano de dirección para garantizar el cumplimiento del objeto y el adecuado funcionamiento del Fondo.</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La Junta Directiva del Fondo se reunirá, como mínimo, cuatro (4) veces cada año. </w:t>
      </w:r>
    </w:p>
    <w:p w:rsidR="00180E10" w:rsidRDefault="00180E10" w:rsidP="00180E10">
      <w:pPr>
        <w:pStyle w:val="Sinespaciado"/>
        <w:rPr>
          <w:rFonts w:cs="Arial"/>
          <w:b/>
        </w:rPr>
      </w:pPr>
    </w:p>
    <w:p w:rsidR="00180E10" w:rsidRPr="00066E86" w:rsidRDefault="00180E10" w:rsidP="00180E10">
      <w:pPr>
        <w:pStyle w:val="Sinespaciado"/>
        <w:rPr>
          <w:rFonts w:cs="Arial"/>
          <w:strike/>
          <w:color w:val="FF0000"/>
        </w:rPr>
      </w:pPr>
      <w:r w:rsidRPr="00066E86">
        <w:rPr>
          <w:rFonts w:cs="Arial"/>
          <w:b/>
        </w:rPr>
        <w:t xml:space="preserve">Artículo 5. Régimen de contratación. </w:t>
      </w:r>
      <w:r w:rsidRPr="00066E86">
        <w:rPr>
          <w:rFonts w:cs="Arial"/>
        </w:rPr>
        <w:t xml:space="preserve">El régimen de contratación del Fondo </w:t>
      </w:r>
      <w:r>
        <w:rPr>
          <w:rFonts w:cs="Arial"/>
        </w:rPr>
        <w:t xml:space="preserve">para la lucha contra el hambre, la inseguridad alimentaria y el desperdicio de alimentos </w:t>
      </w:r>
      <w:r w:rsidRPr="00066E86">
        <w:rPr>
          <w:rFonts w:cs="Arial"/>
        </w:rPr>
        <w:t xml:space="preserve">será el </w:t>
      </w:r>
      <w:r>
        <w:rPr>
          <w:rFonts w:cs="Arial"/>
        </w:rPr>
        <w:t>establecido en el Estatuto General de Contratación de la Administración Pública.</w:t>
      </w:r>
      <w:r w:rsidRPr="00066E86">
        <w:rPr>
          <w:rFonts w:cs="Arial"/>
        </w:rPr>
        <w:t> </w:t>
      </w:r>
    </w:p>
    <w:p w:rsidR="00180E10" w:rsidRDefault="00180E10" w:rsidP="00180E10">
      <w:pPr>
        <w:pStyle w:val="Sinespaciado"/>
        <w:rPr>
          <w:rFonts w:cs="Arial"/>
          <w:b/>
        </w:rPr>
      </w:pPr>
    </w:p>
    <w:p w:rsidR="00180E10" w:rsidRPr="00066E86" w:rsidRDefault="00180E10" w:rsidP="00180E10">
      <w:pPr>
        <w:pStyle w:val="Sinespaciado"/>
        <w:rPr>
          <w:rFonts w:cs="Arial"/>
          <w:strike/>
          <w:color w:val="FF0000"/>
        </w:rPr>
      </w:pPr>
      <w:r w:rsidRPr="00180E10">
        <w:rPr>
          <w:rFonts w:cs="Arial"/>
          <w:b/>
        </w:rPr>
        <w:t>Parágrafo</w:t>
      </w:r>
      <w:r w:rsidRPr="00066E86">
        <w:rPr>
          <w:rFonts w:cs="Arial"/>
        </w:rPr>
        <w:t xml:space="preserve">. El Fondo podrá contratar la ejecución de proyectos con entidades sin ánimo de lucro de reconocida idoneidad y experiencia en la lucha contra el hambre, la inseguridad alimentaria y el desperdicio de alimentos.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Artículo 6. Duración del Fondo.</w:t>
      </w:r>
      <w:r w:rsidRPr="00066E86">
        <w:rPr>
          <w:rFonts w:cs="Arial"/>
        </w:rPr>
        <w:t xml:space="preserve"> El Fondo estará vigente por diez (10) años contados a partir de su creación, pero deberá ser objeto de evaluaciones periódicas </w:t>
      </w:r>
      <w:r w:rsidRPr="00066E86">
        <w:rPr>
          <w:rFonts w:cs="Arial"/>
          <w:color w:val="000000" w:themeColor="text1"/>
        </w:rPr>
        <w:t>anuales</w:t>
      </w:r>
      <w:r w:rsidRPr="00066E86">
        <w:rPr>
          <w:rFonts w:cs="Arial"/>
        </w:rPr>
        <w:t xml:space="preserve"> para determinar la eficacia de los programas implementados. Estas evaluaciones serán realizadas por una entidad externa e independiente que se definirá en el proceso de reglamentación de la presente ley. </w:t>
      </w:r>
    </w:p>
    <w:p w:rsidR="00180E10" w:rsidRPr="00066E86" w:rsidRDefault="00180E10" w:rsidP="00180E10">
      <w:pPr>
        <w:pStyle w:val="Sinespaciado"/>
        <w:rPr>
          <w:rFonts w:cs="Arial"/>
        </w:rPr>
      </w:pPr>
      <w:r w:rsidRPr="00066E86">
        <w:rPr>
          <w:rFonts w:cs="Arial"/>
        </w:rPr>
        <w:t xml:space="preserve">Previo al cumplimiento de la vigencia del fondo, la Junta Directiva podrá prorrogarlo hasta la terminación de la ejecución de los programas o proyectos que se encuentren en curso o liquidarlo en cualquier tiempo, siempre y cuando se observen las condiciones fiscales, económicas, sociales y financieras requeridas para el efecto y el concepto de la entidad externa independiente.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w:t>
      </w:r>
      <w:r w:rsidRPr="00066E86">
        <w:rPr>
          <w:rFonts w:cs="Arial"/>
        </w:rPr>
        <w:t xml:space="preserve"> En el momento de la liquidación, la Junta Directiva se convertirá en la Junta Liquidadora del Fondo. La Contraloría General de la República evaluará los trabajos de liquidación adelantados. Una vez finalizado el proceso de liquidación, los remanentes resultantes del mismo deberán ser reintegrados a los aportantes en la proporción de su participación, excepto los enunciados en el literal d) e), f) y g) del artículo 7, de la presente ley los cuales, deberán ser ejecutados en su totalidad en programas que materialicen el objeto del fondo y el cumplimento de esta ley.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Artículo 7. Recursos del Fondo.</w:t>
      </w:r>
      <w:r w:rsidRPr="00066E86">
        <w:rPr>
          <w:rFonts w:cs="Arial"/>
        </w:rPr>
        <w:t xml:space="preserve"> El fondo se compondrá de recursos que provienen y serán apropiados a partir de las siguientes fuentes: </w:t>
      </w:r>
    </w:p>
    <w:p w:rsidR="00180E10" w:rsidRPr="00066E86" w:rsidRDefault="00180E10" w:rsidP="00180E10">
      <w:pPr>
        <w:pStyle w:val="Sinespaciado"/>
        <w:rPr>
          <w:rFonts w:cs="Arial"/>
        </w:rPr>
      </w:pPr>
      <w:r w:rsidRPr="00066E86">
        <w:rPr>
          <w:rFonts w:cs="Arial"/>
        </w:rPr>
        <w:t>a) Los recursos del Presupuesto General de la Nación que, de acuerdo con la disponibilidad, puedan destinarse a la financiación de programas o proyectos dentro del objeto del Fondo;</w:t>
      </w:r>
    </w:p>
    <w:p w:rsidR="00180E10" w:rsidRPr="00066E86" w:rsidRDefault="00180E10" w:rsidP="00180E10">
      <w:pPr>
        <w:pStyle w:val="Sinespaciado"/>
        <w:rPr>
          <w:rFonts w:cs="Arial"/>
        </w:rPr>
      </w:pPr>
      <w:r w:rsidRPr="00066E86">
        <w:rPr>
          <w:rFonts w:cs="Arial"/>
        </w:rPr>
        <w:lastRenderedPageBreak/>
        <w:t xml:space="preserve">b) Los aportes que las entidades territoriales deseen realizar de acuerdo con su capacidad, con el propósito de financiar programas o proyectos del Fondo; </w:t>
      </w:r>
    </w:p>
    <w:p w:rsidR="00180E10" w:rsidRPr="00066E86" w:rsidRDefault="00180E10" w:rsidP="00180E10">
      <w:pPr>
        <w:pStyle w:val="Sinespaciado"/>
        <w:rPr>
          <w:rFonts w:cs="Arial"/>
        </w:rPr>
      </w:pPr>
      <w:r w:rsidRPr="00066E86">
        <w:rPr>
          <w:rFonts w:cs="Arial"/>
        </w:rPr>
        <w:t xml:space="preserve">c) Las donaciones que reciba de entidades públicas o privadas y de particulares; </w:t>
      </w:r>
    </w:p>
    <w:p w:rsidR="00180E10" w:rsidRPr="00066E86" w:rsidRDefault="00180E10" w:rsidP="00180E10">
      <w:pPr>
        <w:pStyle w:val="Sinespaciado"/>
        <w:rPr>
          <w:rFonts w:cs="Arial"/>
        </w:rPr>
      </w:pPr>
      <w:r w:rsidRPr="00066E86">
        <w:rPr>
          <w:rFonts w:cs="Arial"/>
        </w:rPr>
        <w:t xml:space="preserve">d) Los recursos de la cooperación internacional no reembolsables entregados al Fondo; </w:t>
      </w:r>
    </w:p>
    <w:p w:rsidR="00180E10" w:rsidRPr="00066E86" w:rsidRDefault="00180E10" w:rsidP="00180E10">
      <w:pPr>
        <w:pStyle w:val="Sinespaciado"/>
        <w:rPr>
          <w:rFonts w:cs="Arial"/>
        </w:rPr>
      </w:pPr>
      <w:r w:rsidRPr="00066E86">
        <w:rPr>
          <w:rFonts w:cs="Arial"/>
        </w:rPr>
        <w:t xml:space="preserve">e) El producto del rendimiento de su patrimonio; </w:t>
      </w:r>
    </w:p>
    <w:p w:rsidR="00180E10" w:rsidRPr="00066E86" w:rsidRDefault="00180E10" w:rsidP="00180E10">
      <w:pPr>
        <w:pStyle w:val="Sinespaciado"/>
        <w:rPr>
          <w:rFonts w:cs="Arial"/>
        </w:rPr>
      </w:pPr>
      <w:r w:rsidRPr="00066E86">
        <w:rPr>
          <w:rFonts w:cs="Arial"/>
        </w:rPr>
        <w:t xml:space="preserve">f) Las multas impuestas por las alcaldías o gobernaciones por la infracción de los artículos 8 y 10 de la Ley 1990 de 2019; </w:t>
      </w:r>
    </w:p>
    <w:p w:rsidR="00180E10" w:rsidRPr="00066E86" w:rsidRDefault="00180E10" w:rsidP="00180E10">
      <w:pPr>
        <w:pStyle w:val="Sinespaciado"/>
        <w:rPr>
          <w:rFonts w:cs="Arial"/>
        </w:rPr>
      </w:pPr>
      <w:r w:rsidRPr="00066E86">
        <w:rPr>
          <w:rFonts w:cs="Arial"/>
        </w:rPr>
        <w:t xml:space="preserve">g) Los recursos que obtenga o se le asignen a cualquier título.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1°.</w:t>
      </w:r>
      <w:r w:rsidRPr="00066E86">
        <w:rPr>
          <w:rFonts w:cs="Arial"/>
        </w:rPr>
        <w:t xml:space="preserve"> Las entidades del orden nacional, territorial o particulares podrán aportar recursos a través de esquemas de cofinanciación para el desarrollo de los proyectos que sean identificados, estructurados y gestionados por el Fondo a que se refiere la presente Ley.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2°.</w:t>
      </w:r>
      <w:r w:rsidRPr="00066E86">
        <w:rPr>
          <w:rFonts w:cs="Arial"/>
        </w:rPr>
        <w:t xml:space="preserve"> Los aportes de las entidades territoriales, así como las multas que recauden, podrán dirigirse a la totalidad del Fondo o a programas o proyectos específicos que les beneficien. El Gobierno Nacional reglamentará la articulación con las entidades territoriales dentro de los seis (6) meses siguientes a la expedición de la presente ley. </w:t>
      </w:r>
    </w:p>
    <w:p w:rsidR="00180E10" w:rsidRPr="00066E86" w:rsidRDefault="00180E10" w:rsidP="00180E10">
      <w:pPr>
        <w:pStyle w:val="Sinespaciado"/>
        <w:rPr>
          <w:rFonts w:cs="Arial"/>
          <w:b/>
        </w:rPr>
      </w:pPr>
    </w:p>
    <w:p w:rsidR="00180E10" w:rsidRPr="00066E86" w:rsidRDefault="00180E10" w:rsidP="00180E10">
      <w:pPr>
        <w:pStyle w:val="Sinespaciado"/>
        <w:jc w:val="center"/>
        <w:rPr>
          <w:rFonts w:cs="Arial"/>
          <w:b/>
        </w:rPr>
      </w:pPr>
      <w:r w:rsidRPr="00066E86">
        <w:rPr>
          <w:rFonts w:cs="Arial"/>
          <w:b/>
        </w:rPr>
        <w:t>Capítulo II</w:t>
      </w:r>
    </w:p>
    <w:p w:rsidR="00180E10" w:rsidRPr="00066E86" w:rsidRDefault="00180E10" w:rsidP="00180E10">
      <w:pPr>
        <w:pStyle w:val="Sinespaciado"/>
        <w:jc w:val="center"/>
        <w:rPr>
          <w:rFonts w:cs="Arial"/>
          <w:b/>
        </w:rPr>
      </w:pPr>
      <w:r w:rsidRPr="00066E86">
        <w:rPr>
          <w:rFonts w:cs="Arial"/>
          <w:b/>
        </w:rPr>
        <w:t>Medidas sobre donación de alimentos</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Artículo 8. Unificación de los lineamientos para donación de alimentos. </w:t>
      </w:r>
      <w:r w:rsidRPr="00066E86">
        <w:rPr>
          <w:rFonts w:cs="Arial"/>
        </w:rPr>
        <w:t>Dentro de los seis (6) meses siguientes a la promulgación de la presente ley, el Gobierno Nacional, en cabeza del Departamento Nacional de Planeación, el Departamento Administrativo para la Prosperidad Social, el Ministerio de Salud y Protección Social, el Instituto Colombiano de Bienestar Familiar y la Dirección de Impuestos y Aduanas Nacionales – DIAN, expedirán un decreto reglamentario para fijar los lineamientos para los procesos de donación de alimentos aptos para el consumo humano,</w:t>
      </w:r>
      <w:r w:rsidRPr="00066E86">
        <w:rPr>
          <w:rFonts w:cs="Arial"/>
          <w:color w:val="000000" w:themeColor="text1"/>
        </w:rPr>
        <w:t xml:space="preserve"> y </w:t>
      </w:r>
      <w:r w:rsidRPr="00066E86">
        <w:rPr>
          <w:rFonts w:cs="Arial"/>
        </w:rPr>
        <w:t xml:space="preserve">que serán desarrollados conjuntamente por cada una de estas entidades.  En el marco de estos lineamientos se definirán los criterios de selección de la población beneficiada (donatarios), de la entidad receptora de los alimentos y los procedimientos para la donación, teniendo en cuenta las medidas establecidas en el capítulo III de la ley 1990 de 2019 por medio de la cual se crea la política para prevenir la pérdida y el desperdicio de alimentos. </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Artículo 9. Campañas de donación.</w:t>
      </w:r>
      <w:r w:rsidRPr="00066E86">
        <w:rPr>
          <w:rFonts w:cs="Arial"/>
        </w:rPr>
        <w:t xml:space="preserve"> Las entidades del orden nacional y descentralizado, entidades territoriales y organizaciones sin ánimo de lucro legalmente constituidas, que cumplan con los requisitos dispuestos en el numeral 2 del artículo 8 de la Ley 1990 de 2019, adelantarán campañas, a través de cualquier medio, dirigidas a promover la donación de alimentos aptos para el consumo humano que no se comercializaron, frescos o preparados. </w:t>
      </w:r>
    </w:p>
    <w:p w:rsidR="00180E10" w:rsidRPr="00066E86" w:rsidRDefault="00180E10" w:rsidP="00180E10">
      <w:pPr>
        <w:pStyle w:val="Sinespaciado"/>
        <w:rPr>
          <w:rFonts w:cs="Arial"/>
        </w:rPr>
      </w:pPr>
    </w:p>
    <w:p w:rsidR="00180E10" w:rsidRPr="00066E86" w:rsidRDefault="00180E10" w:rsidP="00180E10">
      <w:pPr>
        <w:pStyle w:val="Sinespaciado"/>
        <w:jc w:val="center"/>
        <w:rPr>
          <w:rFonts w:cs="Arial"/>
          <w:b/>
        </w:rPr>
      </w:pPr>
      <w:r w:rsidRPr="00066E86">
        <w:rPr>
          <w:rFonts w:cs="Arial"/>
          <w:b/>
        </w:rPr>
        <w:t>Capítulo III</w:t>
      </w:r>
    </w:p>
    <w:p w:rsidR="00180E10" w:rsidRPr="00066E86" w:rsidRDefault="00180E10" w:rsidP="00180E10">
      <w:pPr>
        <w:pStyle w:val="Sinespaciado"/>
        <w:jc w:val="center"/>
        <w:rPr>
          <w:rFonts w:cs="Arial"/>
          <w:b/>
        </w:rPr>
      </w:pPr>
      <w:r w:rsidRPr="00066E86">
        <w:rPr>
          <w:rFonts w:cs="Arial"/>
          <w:b/>
        </w:rPr>
        <w:t>Disposiciones finales</w:t>
      </w:r>
    </w:p>
    <w:p w:rsidR="00180E10" w:rsidRPr="00066E86" w:rsidRDefault="00180E10" w:rsidP="00180E10">
      <w:pPr>
        <w:pStyle w:val="Sinespaciado"/>
        <w:rPr>
          <w:rFonts w:cs="Arial"/>
        </w:rPr>
      </w:pPr>
      <w:r w:rsidRPr="00066E86">
        <w:rPr>
          <w:rFonts w:cs="Arial"/>
          <w:b/>
        </w:rPr>
        <w:t xml:space="preserve">Artículo 10. </w:t>
      </w:r>
      <w:r w:rsidRPr="00066E86">
        <w:rPr>
          <w:rFonts w:cs="Arial"/>
        </w:rPr>
        <w:t xml:space="preserve">Modifíquese el artículo 17 de la Ley 1990 de 2019, el cual quedará así: </w:t>
      </w:r>
    </w:p>
    <w:p w:rsidR="00180E10" w:rsidRDefault="00180E10" w:rsidP="00180E10">
      <w:pPr>
        <w:pStyle w:val="Sinespaciado"/>
        <w:rPr>
          <w:rFonts w:cs="Arial"/>
          <w:b/>
        </w:rPr>
      </w:pPr>
    </w:p>
    <w:p w:rsidR="00180E10" w:rsidRDefault="00180E10" w:rsidP="00180E10">
      <w:pPr>
        <w:pStyle w:val="Sinespaciado"/>
        <w:rPr>
          <w:rFonts w:cs="Arial"/>
        </w:rPr>
      </w:pPr>
      <w:r w:rsidRPr="00066E86">
        <w:rPr>
          <w:rFonts w:cs="Arial"/>
          <w:b/>
        </w:rPr>
        <w:t>Artículo 17. Régimen sancionatorio frente al desperdicio de alimentos.</w:t>
      </w:r>
      <w:r w:rsidRPr="00066E86">
        <w:rPr>
          <w:rFonts w:cs="Arial"/>
        </w:rPr>
        <w:t xml:space="preserve"> Las personas jurídicas, públicas o privadas, nacionales o extranjeras, estarán sujetas al siguiente régimen sancionatorio en caso de que incumplan las obligaciones previstas en los artículos 8 y 10 de la presente ley o las normas que las modifiquen.</w:t>
      </w:r>
    </w:p>
    <w:p w:rsidR="00180E10" w:rsidRPr="00066E86" w:rsidRDefault="00180E10" w:rsidP="00180E10">
      <w:pPr>
        <w:pStyle w:val="Sinespaciado"/>
        <w:rPr>
          <w:rFonts w:cs="Arial"/>
        </w:rPr>
      </w:pPr>
      <w:r w:rsidRPr="00066E86">
        <w:rPr>
          <w:rFonts w:cs="Arial"/>
        </w:rPr>
        <w:t xml:space="preserve"> </w:t>
      </w:r>
    </w:p>
    <w:p w:rsidR="00180E10" w:rsidRPr="00066E86" w:rsidRDefault="00180E10" w:rsidP="00180E10">
      <w:pPr>
        <w:pStyle w:val="Sinespaciado"/>
        <w:rPr>
          <w:rFonts w:cs="Arial"/>
        </w:rPr>
      </w:pPr>
      <w:r w:rsidRPr="00066E86">
        <w:rPr>
          <w:rFonts w:cs="Arial"/>
        </w:rPr>
        <w:t xml:space="preserve">1. La competencia sancionatoria radicará en las alcaldías municipales y distritales en las cuales la persona jurídica adelanta su actividad económica. En caso de que las alcaldías municipales y distritales no cuenten con la capacidad administrativa para sancionar, la Gobernación Departamental cumplirá con esta función de forma subsidiaria.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2. Las alcaldías verificarán de manera constante el cumplimiento de los artículos 8 y 10 de la presente ley. En caso de que no cuenten con capacidad administrativa suficiente, podrán solicitar asistencia</w:t>
      </w:r>
      <w:r w:rsidRPr="00066E86">
        <w:rPr>
          <w:rFonts w:cs="Arial"/>
          <w:color w:val="FF0000"/>
        </w:rPr>
        <w:t xml:space="preserve"> </w:t>
      </w:r>
      <w:r w:rsidRPr="00066E86">
        <w:rPr>
          <w:rFonts w:cs="Arial"/>
        </w:rPr>
        <w:t>al Gobierno Nacional para llevar a cabo las funciones de fiscalización.</w:t>
      </w:r>
    </w:p>
    <w:p w:rsidR="00180E10" w:rsidRPr="00066E86" w:rsidRDefault="00180E10" w:rsidP="00180E10">
      <w:pPr>
        <w:pStyle w:val="Sinespaciado"/>
        <w:rPr>
          <w:rFonts w:cs="Arial"/>
        </w:rPr>
      </w:pPr>
      <w:r w:rsidRPr="00066E86">
        <w:rPr>
          <w:rFonts w:cs="Arial"/>
        </w:rPr>
        <w:t xml:space="preserve">En caso de advertir su incumplimiento, requerirán a la respectiva persona jurídica para que acate sus obligaciones sobre desperdicio de alimentos, indicándole específicamente en qué está fallando y las medidas que puede adoptar para superar el incumplimiento. Para esto, </w:t>
      </w:r>
      <w:proofErr w:type="gramStart"/>
      <w:r w:rsidRPr="00066E86">
        <w:rPr>
          <w:rFonts w:cs="Arial"/>
        </w:rPr>
        <w:t>le</w:t>
      </w:r>
      <w:proofErr w:type="gramEnd"/>
      <w:r w:rsidRPr="00066E86">
        <w:rPr>
          <w:rFonts w:cs="Arial"/>
        </w:rPr>
        <w:t xml:space="preserve"> otorgará un plazo no inferior a 60 días.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3. Vencido el plazo, las alcaldías verificarán que la persona jurídica haya adoptado las medidas necesarias para superar el incumplimiento. De no haberlo hecho, se iniciará un proceso administrativo sancionatorio conforme a lo previsto en la Ley 1437 de 2011 y, de encontrar responsable a la persona jurídica, le impondrá la sanción de multa así: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a. De 1 a 10 salarios mínimos mensuales legales vigentes si se trata de pequeñas empresas.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b. De 10 a 25 salarios mínimos mensuales legales vigentes si se trata de medianas empresas.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c. De 25 a 40 salarios mínimos mensuales legales vigentes si se trata de grandes empresas o de una entidad pública.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Las alcaldías o gobernaciones reportarán trimestralmente a la Comisión Intersectorial del Derecho Humano a la Alimentación, o quien haga sus veces, las sanciones que impongan, su monto y la destinación dada. </w:t>
      </w:r>
    </w:p>
    <w:p w:rsidR="00180E10"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La sanción de multa no se aplicará a las microempresas y ni a las personas jurídicas sin ánimo de lucro. En su lugar, las alcaldías impondrán medidas pedagógicas para garantizar el cumplimiento de los artículos 8 y 10 de la presente ley, o las normas que las modifiquen.</w:t>
      </w:r>
    </w:p>
    <w:p w:rsidR="00180E10"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Parágrafo 1.</w:t>
      </w:r>
      <w:r w:rsidRPr="00066E86">
        <w:rPr>
          <w:rFonts w:cs="Arial"/>
        </w:rPr>
        <w:t xml:space="preserve"> Cuando el incumplimiento de las obligaciones previstas en los artículos 8 y 10 de la Ley 1990 de 2019, o la norma que los modifique, sea imputable a una entidad pública, se compulsarán copias a la Procuraduría General de la Nación para que investigue la posible comisión de faltas disciplinarias.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Parágrafo 2.</w:t>
      </w:r>
      <w:r w:rsidRPr="00066E86">
        <w:rPr>
          <w:rFonts w:cs="Arial"/>
        </w:rPr>
        <w:t xml:space="preserve"> La determinación de cuáles son micro, pequeñas, medianas y grandes empresas se realizará conforme al Decreto 957 de 2019 o la norma que lo modifique, tomando como base los valores del sector comercio. </w:t>
      </w:r>
    </w:p>
    <w:p w:rsidR="00180E10" w:rsidRPr="00066E86"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Parágrafo 3. </w:t>
      </w:r>
      <w:r w:rsidRPr="00066E86">
        <w:rPr>
          <w:rFonts w:cs="Arial"/>
        </w:rPr>
        <w:t xml:space="preserve"> Las personas jurídicas privadas nacionales que incurran en infracciones y se les imponga sanción de multa, podrán optar por realizar acciones de compensación social equivalentes al valor de la multa, tales como la donación de alimentos o la financiación de programas de seguridad alimentaria, previo acuerdo con la autoridad competente.</w:t>
      </w:r>
    </w:p>
    <w:p w:rsidR="00180E10" w:rsidRPr="00066E86" w:rsidRDefault="00180E10" w:rsidP="00180E10">
      <w:pPr>
        <w:pStyle w:val="Sinespaciado"/>
        <w:rPr>
          <w:rFonts w:cs="Arial"/>
          <w:b/>
        </w:rPr>
      </w:pPr>
    </w:p>
    <w:p w:rsidR="00180E10" w:rsidRPr="00066E86" w:rsidRDefault="00180E10" w:rsidP="00180E10">
      <w:pPr>
        <w:pStyle w:val="Sinespaciado"/>
        <w:rPr>
          <w:rFonts w:cs="Arial"/>
        </w:rPr>
      </w:pPr>
      <w:r w:rsidRPr="00066E86">
        <w:rPr>
          <w:rFonts w:cs="Arial"/>
          <w:b/>
        </w:rPr>
        <w:t xml:space="preserve">Parágrafo 4. </w:t>
      </w:r>
      <w:r w:rsidRPr="00066E86">
        <w:rPr>
          <w:rFonts w:cs="Arial"/>
        </w:rPr>
        <w:t>El régimen sancionatorio establecido en el presente artículo, no exime a los mencionados actores de los correspondientes procesos fiscales, penales y/o disciplinarios, por lo que las alcaldía municipales y distritales en un término perentorio deberán poner en conocimiento estas sanciones a las autoridades competentes.</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Artículo 11. Actualización de la Política Pública para la Garantía Progresiva del Derecho a la Alimentación.</w:t>
      </w:r>
      <w:r w:rsidRPr="00066E86">
        <w:rPr>
          <w:rFonts w:cs="Arial"/>
        </w:rPr>
        <w:t xml:space="preserve"> La Comisión Intersectorial del Derecho Humano a la Alimentación, o quien haga sus veces, actualizará la Política Pública para la Garantía Progresiva del Derecho a la Alimentación cada cinco (5) años o cuando el contexto social así lo demande.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Artículo 12. Actualización de la Encuesta Nacional de la Situación Nutricional – ENSIN.</w:t>
      </w:r>
      <w:r w:rsidRPr="00066E86">
        <w:rPr>
          <w:rFonts w:cs="Arial"/>
        </w:rPr>
        <w:t xml:space="preserve"> La Encuesta Nacional de la Situación Nutricional – ENSIN deberá actualizarse por lo menos cada cinco años y deberá ser tenida en cuenta en la actualización de la Política Pública para la Garantía Progresiva del Derecho a la Alimentación y en los demás planes o programas relacionados con el hambre y la desnutrición.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Artículo 13. Informes periódicos.</w:t>
      </w:r>
      <w:r w:rsidRPr="00066E86">
        <w:rPr>
          <w:rFonts w:cs="Arial"/>
        </w:rPr>
        <w:t xml:space="preserve"> El 16 de octubre de cada año la Comisión Intersectorial del Derecho Humano a la Alimentación o quien haga sus veces, a través de su secretaría técnica, rendirá informe a las Comisiones Séptimas Constitucionales Permanentes del Congreso de la República sobre el avance en la implementación y/o actualización de la Política Pública para la Garantía Progresiva del Derecho a la Alimentación y de la Política contra la Pérdida y el Desperdicio de Alimentos. También informará sobre el avance, ejecución y/o actualización de la Encuesta Nacional de Situación Nutricional – ENSIN.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Parágrafo.</w:t>
      </w:r>
      <w:r w:rsidRPr="00066E86">
        <w:rPr>
          <w:rFonts w:cs="Arial"/>
        </w:rPr>
        <w:t xml:space="preserve"> La Comisión Intersectorial del Derecho Humano a la Alimentación, o quien haga sus veces, revisará la eficiencia de los programas implementados en la década siguiente a la entrada en vigor de la presente ley, con el fin de determinar si los recursos están siendo destinados de manera correcta y se están cumpliendo los objetivos de cada uno de los planes o programas en materia de hambre y desnutrición. Esos resultados deben ser entregados a manera de informe ante las Comisiones Séptimas del Congreso dentro del mes siguiente una vez cumplidos los diez (10) años.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b/>
        </w:rPr>
        <w:t>Artículo 14. Promoción de la seguridad alimentaria y de la prevención del desperdicio de alimentos.</w:t>
      </w:r>
      <w:r w:rsidRPr="00066E86">
        <w:rPr>
          <w:rFonts w:cs="Arial"/>
        </w:rPr>
        <w:t xml:space="preserve"> El Gobierno Nacional, a través del Ministerio de Comercio, Industria y Turismo, el Ministerio de Agricultura y Desarrollo Rural, el Departamento de Prosperidad Social, el Departamento Nacional de Planeación, la Agencia Presidencial de Cooperación Internacional y las demás entidades que estime necesarias, diseñará el programa “Ruta de Donación de Alimentos”, con el fin de articular la oferta y la demanda de alimentos para donación, con el fin de brindar a productores y comercializadores la herramienta para programar la entrega de alimentos aptos para el consumo humano o animal, susceptibles de donación, como estrategia de prevención del desperdicio.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Así mismo, desarrollará estrategias para promover la producción nacional de alimentos y asegurar la comercialización y distribución de las cosechas, que eviten su pérdida.  Además, creará y desarrollará el Sello Alimentarte, como incentivo de distinción y promoción de los productores y comercializadores que participan de las estrategias de donación de alimentos. Para ello, el Gobierno Nacional podrá desarrollar publicaciones, eventos, ruedas de negocios y ferias a nivel nacional e internacional para la promoción de dichas empresas en reconocimiento de su responsabilidad social y su compromiso con la seguridad alimentaria, la lucha contra el hambre y la prevención al desperdicio de alimentos. </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Asimismo, las entidades mencionadas coordinarán con las administraciones municipales con el fin de establecer estrategias de acompañamiento técnico, tecnológico y comercial para el fortalecimiento y competitividad de las redes de plazas de mercado y el abastecimiento a los micro negocios en los barrios.</w:t>
      </w:r>
    </w:p>
    <w:p w:rsidR="00180E10" w:rsidRPr="00066E86" w:rsidRDefault="00180E10" w:rsidP="00180E10">
      <w:pPr>
        <w:pStyle w:val="Sinespaciado"/>
        <w:rPr>
          <w:rFonts w:cs="Arial"/>
        </w:rPr>
      </w:pPr>
    </w:p>
    <w:p w:rsidR="00180E10" w:rsidRPr="00066E86" w:rsidRDefault="00180E10" w:rsidP="00180E10">
      <w:pPr>
        <w:pStyle w:val="Sinespaciado"/>
        <w:rPr>
          <w:rFonts w:cs="Arial"/>
        </w:rPr>
      </w:pPr>
      <w:r w:rsidRPr="00066E86">
        <w:rPr>
          <w:rFonts w:cs="Arial"/>
        </w:rPr>
        <w:t xml:space="preserve">Para el desarrollo de lo dispuesto en el presente artículo se coordinará con las Cámaras de Comercio, los Concejos Municipales de Desarrollo Rural y con alcaldías y gobernaciones, para fortalecer las estrategias y programas que se definan para tal fin en todo el territorio. </w:t>
      </w:r>
    </w:p>
    <w:p w:rsidR="00180E10" w:rsidRPr="00066E86" w:rsidRDefault="00180E10" w:rsidP="00180E10">
      <w:pPr>
        <w:pStyle w:val="Sinespaciado"/>
        <w:rPr>
          <w:rFonts w:cs="Arial"/>
          <w:b/>
          <w:strike/>
          <w:color w:val="FF0000"/>
        </w:rPr>
      </w:pPr>
    </w:p>
    <w:p w:rsidR="00180E10" w:rsidRPr="00066E86" w:rsidRDefault="00180E10" w:rsidP="005C4915">
      <w:pPr>
        <w:pStyle w:val="Sinespaciado"/>
        <w:jc w:val="center"/>
        <w:rPr>
          <w:rFonts w:cs="Arial"/>
          <w:b/>
          <w:strike/>
          <w:color w:val="FF0000"/>
        </w:rPr>
      </w:pPr>
    </w:p>
    <w:p w:rsidR="00ED4980" w:rsidRPr="00591D98" w:rsidRDefault="00180E10" w:rsidP="00180E10">
      <w:pPr>
        <w:pStyle w:val="Sinespaciado"/>
        <w:rPr>
          <w:rFonts w:cs="Arial"/>
        </w:rPr>
      </w:pPr>
      <w:r w:rsidRPr="00066E86">
        <w:rPr>
          <w:rFonts w:cs="Arial"/>
          <w:b/>
        </w:rPr>
        <w:lastRenderedPageBreak/>
        <w:t>Artículo 15. Vigencia y derogatorias</w:t>
      </w:r>
      <w:r w:rsidRPr="00066E86">
        <w:rPr>
          <w:rFonts w:cs="Arial"/>
        </w:rPr>
        <w:t>. La presente ley rige a partir de su promulgación y deroga todas las disposiciones que le sean contrarias, en particular el artículo 2.22.1.2.3.2. del Decreto 375 de 2022.</w:t>
      </w:r>
    </w:p>
    <w:p w:rsidR="002E6C1D" w:rsidRPr="001C6DF6" w:rsidRDefault="00722B7D" w:rsidP="0080316C">
      <w:pPr>
        <w:pStyle w:val="Sinespaciado"/>
      </w:pPr>
      <w:r w:rsidRPr="001C6DF6">
        <w:rPr>
          <w:b/>
        </w:rPr>
        <w:cr/>
      </w:r>
      <w:r w:rsidR="002E6C1D" w:rsidRPr="001C6DF6">
        <w:t xml:space="preserve"> </w:t>
      </w:r>
    </w:p>
    <w:p w:rsidR="00F718B4" w:rsidRDefault="00F718B4" w:rsidP="00FC1DEF">
      <w:pPr>
        <w:pStyle w:val="Sinespaciado"/>
        <w:rPr>
          <w:rFonts w:cs="Arial"/>
          <w:color w:val="000000"/>
        </w:rPr>
      </w:pPr>
    </w:p>
    <w:p w:rsidR="005C4915" w:rsidRPr="001C6DF6" w:rsidRDefault="005C4915" w:rsidP="00FC1DEF">
      <w:pPr>
        <w:pStyle w:val="Sinespaciado"/>
        <w:rPr>
          <w:rFonts w:cs="Arial"/>
          <w:color w:val="000000"/>
        </w:rPr>
      </w:pPr>
    </w:p>
    <w:p w:rsidR="006A6E00" w:rsidRPr="001C6DF6" w:rsidRDefault="001C6DF6" w:rsidP="001C6DF6">
      <w:pPr>
        <w:pStyle w:val="Sinespaciado"/>
        <w:tabs>
          <w:tab w:val="left" w:pos="5522"/>
        </w:tabs>
        <w:rPr>
          <w:rFonts w:cs="Arial"/>
          <w:color w:val="000000"/>
        </w:rPr>
      </w:pPr>
      <w:r w:rsidRPr="001C6DF6">
        <w:rPr>
          <w:rFonts w:cs="Arial"/>
          <w:color w:val="000000"/>
        </w:rPr>
        <w:tab/>
      </w:r>
    </w:p>
    <w:p w:rsidR="005C4915" w:rsidRPr="005C4915" w:rsidRDefault="005C4915" w:rsidP="005C4915">
      <w:pPr>
        <w:pStyle w:val="Sinespaciado"/>
        <w:rPr>
          <w:b/>
        </w:rPr>
      </w:pPr>
      <w:r w:rsidRPr="005C4915">
        <w:rPr>
          <w:b/>
        </w:rPr>
        <w:t>Hugo Alfonso Archila Suárez</w:t>
      </w:r>
      <w:r>
        <w:rPr>
          <w:b/>
        </w:rPr>
        <w:tab/>
      </w:r>
      <w:r>
        <w:rPr>
          <w:b/>
        </w:rPr>
        <w:tab/>
      </w:r>
      <w:r>
        <w:rPr>
          <w:b/>
        </w:rPr>
        <w:tab/>
      </w:r>
      <w:r>
        <w:rPr>
          <w:b/>
        </w:rPr>
        <w:tab/>
      </w:r>
      <w:r w:rsidRPr="005C4915">
        <w:rPr>
          <w:b/>
        </w:rPr>
        <w:t xml:space="preserve">Jorge Alexander Quevedo Herrera  </w:t>
      </w:r>
    </w:p>
    <w:p w:rsidR="005C4915" w:rsidRDefault="005C4915" w:rsidP="005C4915">
      <w:pPr>
        <w:pStyle w:val="Sinespaciado"/>
      </w:pPr>
      <w:r>
        <w:t>Representante a la Cámara</w:t>
      </w:r>
      <w:r>
        <w:tab/>
      </w:r>
      <w:r>
        <w:tab/>
      </w:r>
      <w:r>
        <w:tab/>
      </w:r>
      <w:r>
        <w:tab/>
      </w:r>
      <w:r>
        <w:tab/>
        <w:t xml:space="preserve">Representante a la Cámara                                      </w:t>
      </w:r>
    </w:p>
    <w:p w:rsidR="005C4915" w:rsidRDefault="005C4915" w:rsidP="005C4915">
      <w:pPr>
        <w:pStyle w:val="Sinespaciado"/>
      </w:pPr>
    </w:p>
    <w:p w:rsidR="005C4915" w:rsidRDefault="005C4915" w:rsidP="005C4915">
      <w:pPr>
        <w:pStyle w:val="Sinespaciado"/>
      </w:pPr>
    </w:p>
    <w:p w:rsidR="005C4915" w:rsidRDefault="005C4915" w:rsidP="005C4915">
      <w:pPr>
        <w:pStyle w:val="Sinespaciado"/>
      </w:pPr>
    </w:p>
    <w:p w:rsidR="005C4915" w:rsidRDefault="005C4915" w:rsidP="005C4915">
      <w:pPr>
        <w:pStyle w:val="Sinespaciado"/>
      </w:pPr>
    </w:p>
    <w:p w:rsidR="005C4915" w:rsidRDefault="005C4915" w:rsidP="005C4915">
      <w:pPr>
        <w:pStyle w:val="Sinespaciado"/>
      </w:pPr>
    </w:p>
    <w:p w:rsidR="005C4915" w:rsidRDefault="005C4915" w:rsidP="005C4915">
      <w:pPr>
        <w:pStyle w:val="Sinespaciado"/>
      </w:pPr>
    </w:p>
    <w:p w:rsidR="005C4915" w:rsidRPr="005C4915" w:rsidRDefault="005C4915" w:rsidP="005C4915">
      <w:pPr>
        <w:pStyle w:val="Sinespaciado"/>
        <w:rPr>
          <w:b/>
        </w:rPr>
      </w:pPr>
      <w:r w:rsidRPr="005C4915">
        <w:rPr>
          <w:b/>
        </w:rPr>
        <w:t>Cami</w:t>
      </w:r>
      <w:r>
        <w:rPr>
          <w:b/>
        </w:rPr>
        <w:t>lo Esteban Ávila Morales</w:t>
      </w:r>
      <w:r>
        <w:rPr>
          <w:b/>
        </w:rPr>
        <w:tab/>
      </w:r>
      <w:r>
        <w:rPr>
          <w:b/>
        </w:rPr>
        <w:tab/>
      </w:r>
      <w:r>
        <w:rPr>
          <w:b/>
        </w:rPr>
        <w:tab/>
      </w:r>
      <w:r>
        <w:rPr>
          <w:b/>
        </w:rPr>
        <w:tab/>
      </w:r>
      <w:r w:rsidRPr="005C4915">
        <w:rPr>
          <w:b/>
        </w:rPr>
        <w:t xml:space="preserve">Betsy Judith Pérez Arango </w:t>
      </w:r>
    </w:p>
    <w:p w:rsidR="004D631D" w:rsidRPr="001C6DF6" w:rsidRDefault="005C4915" w:rsidP="005C4915">
      <w:pPr>
        <w:pStyle w:val="Sinespaciado"/>
        <w:rPr>
          <w:color w:val="000000"/>
        </w:rPr>
      </w:pPr>
      <w:r>
        <w:t>Representante a la Cámara</w:t>
      </w:r>
      <w:r>
        <w:tab/>
      </w:r>
      <w:r>
        <w:tab/>
      </w:r>
      <w:r>
        <w:tab/>
      </w:r>
      <w:r>
        <w:tab/>
      </w:r>
      <w:r>
        <w:tab/>
        <w:t xml:space="preserve">Representante a la Cámara                                           </w:t>
      </w:r>
    </w:p>
    <w:sectPr w:rsidR="004D631D" w:rsidRPr="001C6DF6"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CF" w:rsidRDefault="00374FCF">
      <w:pPr>
        <w:spacing w:after="0" w:line="240" w:lineRule="auto"/>
      </w:pPr>
      <w:r>
        <w:separator/>
      </w:r>
    </w:p>
  </w:endnote>
  <w:endnote w:type="continuationSeparator" w:id="0">
    <w:p w:rsidR="00374FCF" w:rsidRDefault="0037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ED4980">
      <w:rPr>
        <w:rFonts w:ascii="Arial" w:hAnsi="Arial" w:cs="Arial"/>
        <w:color w:val="4F81BD" w:themeColor="accent1"/>
        <w:sz w:val="16"/>
        <w:szCs w:val="16"/>
        <w:lang w:val="es-ES"/>
      </w:rPr>
      <w:t>4</w:t>
    </w:r>
    <w:r w:rsidR="005C4915">
      <w:rPr>
        <w:rFonts w:ascii="Arial" w:hAnsi="Arial" w:cs="Arial"/>
        <w:color w:val="4F81BD" w:themeColor="accent1"/>
        <w:sz w:val="16"/>
        <w:szCs w:val="16"/>
        <w:lang w:val="es-ES"/>
      </w:rPr>
      <w:t>7</w:t>
    </w:r>
    <w:r w:rsidR="00ED4980">
      <w:rPr>
        <w:rFonts w:ascii="Arial" w:hAnsi="Arial" w:cs="Arial"/>
        <w:color w:val="4F81BD" w:themeColor="accent1"/>
        <w:sz w:val="16"/>
        <w:szCs w:val="16"/>
        <w:lang w:val="es-ES"/>
      </w:rPr>
      <w:t>4</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BD3B0E" w:rsidRPr="00BD3B0E">
      <w:rPr>
        <w:rFonts w:ascii="Arial" w:hAnsi="Arial" w:cs="Arial"/>
        <w:noProof/>
        <w:color w:val="4F81BD" w:themeColor="accent1"/>
        <w:sz w:val="16"/>
        <w:szCs w:val="16"/>
        <w:lang w:val="es-ES"/>
      </w:rPr>
      <w:t>7</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BD3B0E" w:rsidRPr="00BD3B0E">
      <w:rPr>
        <w:rFonts w:ascii="Arial" w:hAnsi="Arial" w:cs="Arial"/>
        <w:noProof/>
        <w:color w:val="4F81BD" w:themeColor="accent1"/>
        <w:sz w:val="16"/>
        <w:szCs w:val="16"/>
        <w:lang w:val="es-ES"/>
      </w:rPr>
      <w:t>7</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CF" w:rsidRDefault="00374FCF">
      <w:pPr>
        <w:spacing w:after="0" w:line="240" w:lineRule="auto"/>
      </w:pPr>
      <w:r>
        <w:separator/>
      </w:r>
    </w:p>
  </w:footnote>
  <w:footnote w:type="continuationSeparator" w:id="0">
    <w:p w:rsidR="00374FCF" w:rsidRDefault="0037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5A12"/>
    <w:rsid w:val="000D4049"/>
    <w:rsid w:val="000D59FE"/>
    <w:rsid w:val="000F3249"/>
    <w:rsid w:val="000F3F41"/>
    <w:rsid w:val="00102AC9"/>
    <w:rsid w:val="00106067"/>
    <w:rsid w:val="001303C3"/>
    <w:rsid w:val="00134E23"/>
    <w:rsid w:val="00141A7E"/>
    <w:rsid w:val="00145732"/>
    <w:rsid w:val="00180E10"/>
    <w:rsid w:val="001826C3"/>
    <w:rsid w:val="00193E1C"/>
    <w:rsid w:val="001B1C28"/>
    <w:rsid w:val="001B6E7B"/>
    <w:rsid w:val="001C10AB"/>
    <w:rsid w:val="001C6DF6"/>
    <w:rsid w:val="001F7A2A"/>
    <w:rsid w:val="00217B1E"/>
    <w:rsid w:val="00227978"/>
    <w:rsid w:val="00245986"/>
    <w:rsid w:val="00273C01"/>
    <w:rsid w:val="00290644"/>
    <w:rsid w:val="002A1BAF"/>
    <w:rsid w:val="002C21DA"/>
    <w:rsid w:val="002E6C1D"/>
    <w:rsid w:val="00330383"/>
    <w:rsid w:val="00332B24"/>
    <w:rsid w:val="00344B4D"/>
    <w:rsid w:val="00374FCF"/>
    <w:rsid w:val="00375224"/>
    <w:rsid w:val="00392FE1"/>
    <w:rsid w:val="003B3F8A"/>
    <w:rsid w:val="003C3541"/>
    <w:rsid w:val="003C5D20"/>
    <w:rsid w:val="003D08DE"/>
    <w:rsid w:val="00401837"/>
    <w:rsid w:val="00484475"/>
    <w:rsid w:val="0049721E"/>
    <w:rsid w:val="004B0124"/>
    <w:rsid w:val="004D631D"/>
    <w:rsid w:val="004F0BC8"/>
    <w:rsid w:val="005004BD"/>
    <w:rsid w:val="00523CF6"/>
    <w:rsid w:val="00533F5F"/>
    <w:rsid w:val="00545AF9"/>
    <w:rsid w:val="0057061D"/>
    <w:rsid w:val="005970FF"/>
    <w:rsid w:val="005B79B2"/>
    <w:rsid w:val="005C4915"/>
    <w:rsid w:val="006020FC"/>
    <w:rsid w:val="00644D12"/>
    <w:rsid w:val="00645D96"/>
    <w:rsid w:val="0066551C"/>
    <w:rsid w:val="00676A02"/>
    <w:rsid w:val="006A6E00"/>
    <w:rsid w:val="006A6E52"/>
    <w:rsid w:val="006D531F"/>
    <w:rsid w:val="006E594C"/>
    <w:rsid w:val="00703BB5"/>
    <w:rsid w:val="00722B7D"/>
    <w:rsid w:val="00745DA4"/>
    <w:rsid w:val="00751A35"/>
    <w:rsid w:val="00767847"/>
    <w:rsid w:val="00780935"/>
    <w:rsid w:val="00793F4D"/>
    <w:rsid w:val="007D2959"/>
    <w:rsid w:val="007D3C92"/>
    <w:rsid w:val="007F0D11"/>
    <w:rsid w:val="0080316C"/>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2082D"/>
    <w:rsid w:val="00E27292"/>
    <w:rsid w:val="00EB3579"/>
    <w:rsid w:val="00ED4980"/>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8F225-614A-4B92-ADCA-0DDB3643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2025-04-29T21:52:00Z</dcterms:created>
  <dcterms:modified xsi:type="dcterms:W3CDTF">2025-05-06T16:50:00Z</dcterms:modified>
</cp:coreProperties>
</file>